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4B75" w:rsidRPr="00C24B7C" w:rsidRDefault="00C918A8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</w:rPr>
        <w:t>IAA Summer Internship</w:t>
      </w:r>
    </w:p>
    <w:p w14:paraId="00000002" w14:textId="3E1E90BE" w:rsidR="00CA4B75" w:rsidRPr="00C24B7C" w:rsidRDefault="00AC0072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</w:rPr>
        <w:t>2021</w:t>
      </w:r>
      <w:r w:rsidR="00C918A8" w:rsidRPr="00C24B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bookmark=id.gjdgxs" w:colFirst="0" w:colLast="0"/>
      <w:bookmarkEnd w:id="0"/>
      <w:r w:rsidR="00C918A8" w:rsidRPr="00C24B7C">
        <w:rPr>
          <w:rFonts w:ascii="Times New Roman" w:hAnsi="Times New Roman" w:cs="Times New Roman"/>
          <w:b/>
          <w:sz w:val="24"/>
          <w:szCs w:val="24"/>
        </w:rPr>
        <w:t>Registration Information</w:t>
      </w:r>
    </w:p>
    <w:p w14:paraId="00000003" w14:textId="77777777" w:rsidR="00CA4B75" w:rsidRPr="00C24B7C" w:rsidRDefault="00CA4B75">
      <w:pPr>
        <w:ind w:left="0" w:hanging="2"/>
        <w:rPr>
          <w:rFonts w:ascii="Times New Roman" w:hAnsi="Times New Roman" w:cs="Times New Roman"/>
          <w:sz w:val="24"/>
          <w:szCs w:val="24"/>
          <w:u w:val="single"/>
        </w:rPr>
      </w:pPr>
    </w:p>
    <w:p w14:paraId="00000004" w14:textId="2FE7ABE3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 xml:space="preserve">INAG 288: </w:t>
      </w:r>
      <w:r w:rsidR="00D61416" w:rsidRPr="00C24B7C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  <w:r w:rsidR="00DC3878" w:rsidRPr="00C24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>(1 Credit)</w:t>
      </w:r>
      <w:r w:rsidR="00DC3878" w:rsidRPr="00C24B7C">
        <w:rPr>
          <w:rFonts w:ascii="Times New Roman" w:hAnsi="Times New Roman" w:cs="Times New Roman"/>
          <w:sz w:val="24"/>
          <w:szCs w:val="24"/>
        </w:rPr>
        <w:t xml:space="preserve"> </w:t>
      </w:r>
      <w:r w:rsidRPr="00C24B7C">
        <w:rPr>
          <w:rFonts w:ascii="Times New Roman" w:hAnsi="Times New Roman" w:cs="Times New Roman"/>
          <w:sz w:val="24"/>
          <w:szCs w:val="24"/>
        </w:rPr>
        <w:t>On-site internship training in the student's major area of study. Students must complete a minimum of 320 working hours at an approved worksite. Students should complete the on-site portion of their internship during the summer between their first and second years.  Grading: regular.   Prerequisite: Advisor's approval.</w:t>
      </w:r>
    </w:p>
    <w:p w14:paraId="00000005" w14:textId="77777777" w:rsidR="00CA4B75" w:rsidRPr="00C24B7C" w:rsidRDefault="00CA4B75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  <w:u w:val="single"/>
        </w:rPr>
      </w:pPr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Registering for your summer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25861505"/>
        </w:sdtPr>
        <w:sdtEndPr/>
        <w:sdtContent/>
      </w:sdt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</w:p>
    <w:p w14:paraId="00000008" w14:textId="77777777" w:rsidR="00CA4B75" w:rsidRPr="00C24B7C" w:rsidRDefault="00C918A8" w:rsidP="00C918A8">
      <w:pPr>
        <w:numPr>
          <w:ilvl w:val="0"/>
          <w:numId w:val="4"/>
        </w:numPr>
        <w:shd w:val="clear" w:color="auto" w:fill="FFFFFF"/>
        <w:ind w:leftChars="0"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C24B7C">
        <w:rPr>
          <w:rFonts w:ascii="Times New Roman" w:hAnsi="Times New Roman" w:cs="Times New Roman"/>
          <w:color w:val="000000"/>
          <w:sz w:val="24"/>
          <w:szCs w:val="24"/>
        </w:rPr>
        <w:t xml:space="preserve">Visit </w:t>
      </w:r>
      <w:hyperlink r:id="rId6">
        <w:r w:rsidRPr="00C24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Testudo</w:t>
        </w:r>
      </w:hyperlink>
      <w:r w:rsidRPr="00C24B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CA4B75" w:rsidRPr="00C24B7C" w:rsidRDefault="00C918A8" w:rsidP="00C918A8">
      <w:pPr>
        <w:numPr>
          <w:ilvl w:val="0"/>
          <w:numId w:val="4"/>
        </w:numPr>
        <w:shd w:val="clear" w:color="auto" w:fill="FFFFFF"/>
        <w:ind w:leftChars="0"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C24B7C">
        <w:rPr>
          <w:rFonts w:ascii="Times New Roman" w:hAnsi="Times New Roman" w:cs="Times New Roman"/>
          <w:color w:val="000000"/>
          <w:sz w:val="24"/>
          <w:szCs w:val="24"/>
        </w:rPr>
        <w:t xml:space="preserve">Click on </w:t>
      </w:r>
      <w:r w:rsidRPr="00C24B7C">
        <w:rPr>
          <w:rFonts w:ascii="Times New Roman" w:hAnsi="Times New Roman" w:cs="Times New Roman"/>
          <w:b/>
          <w:i/>
          <w:color w:val="000000"/>
          <w:sz w:val="24"/>
          <w:szCs w:val="24"/>
        </w:rPr>
        <w:t>Registration (Drop/Add)</w:t>
      </w:r>
    </w:p>
    <w:p w14:paraId="0000000A" w14:textId="77777777" w:rsidR="00CA4B75" w:rsidRPr="00C24B7C" w:rsidRDefault="00C918A8" w:rsidP="00C918A8">
      <w:pPr>
        <w:numPr>
          <w:ilvl w:val="0"/>
          <w:numId w:val="4"/>
        </w:numPr>
        <w:shd w:val="clear" w:color="auto" w:fill="FFFFFF"/>
        <w:ind w:leftChars="0"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C24B7C">
        <w:rPr>
          <w:rFonts w:ascii="Times New Roman" w:hAnsi="Times New Roman" w:cs="Times New Roman"/>
          <w:color w:val="000000"/>
          <w:sz w:val="24"/>
          <w:szCs w:val="24"/>
        </w:rPr>
        <w:t>Log in with directory ID and password</w:t>
      </w:r>
    </w:p>
    <w:p w14:paraId="0000000B" w14:textId="2DFCF4CD" w:rsidR="00CA4B75" w:rsidRPr="00C24B7C" w:rsidRDefault="00C918A8" w:rsidP="00C918A8">
      <w:pPr>
        <w:numPr>
          <w:ilvl w:val="0"/>
          <w:numId w:val="4"/>
        </w:numPr>
        <w:shd w:val="clear" w:color="auto" w:fill="FFFFFF"/>
        <w:ind w:leftChars="0"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C24B7C">
        <w:rPr>
          <w:rFonts w:ascii="Times New Roman" w:hAnsi="Times New Roman" w:cs="Times New Roman"/>
          <w:color w:val="000000"/>
          <w:sz w:val="24"/>
          <w:szCs w:val="24"/>
        </w:rPr>
        <w:t xml:space="preserve">Select </w:t>
      </w:r>
      <w:r w:rsidRPr="00C24B7C">
        <w:rPr>
          <w:rFonts w:ascii="Times New Roman" w:hAnsi="Times New Roman" w:cs="Times New Roman"/>
          <w:b/>
          <w:i/>
          <w:color w:val="000000"/>
          <w:sz w:val="24"/>
          <w:szCs w:val="24"/>
        </w:rPr>
        <w:t>Summer Term II 20</w:t>
      </w:r>
      <w:r w:rsidR="00AC0072" w:rsidRPr="00C24B7C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C24B7C">
        <w:rPr>
          <w:rFonts w:ascii="Times New Roman" w:hAnsi="Times New Roman" w:cs="Times New Roman"/>
          <w:color w:val="000000"/>
          <w:sz w:val="24"/>
          <w:szCs w:val="24"/>
        </w:rPr>
        <w:t xml:space="preserve"> from the drop down menu</w:t>
      </w:r>
    </w:p>
    <w:p w14:paraId="0000000C" w14:textId="0A615FA9" w:rsidR="00CA4B75" w:rsidRPr="00C24B7C" w:rsidRDefault="00C918A8" w:rsidP="00C918A8">
      <w:pPr>
        <w:numPr>
          <w:ilvl w:val="0"/>
          <w:numId w:val="4"/>
        </w:numPr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Enter INAG288 and section (see below) into the Drop/Add table and click </w:t>
      </w:r>
      <w:r w:rsidRPr="00C24B7C">
        <w:rPr>
          <w:rFonts w:ascii="Times New Roman" w:hAnsi="Times New Roman" w:cs="Times New Roman"/>
          <w:b/>
          <w:i/>
          <w:sz w:val="24"/>
          <w:szCs w:val="24"/>
        </w:rPr>
        <w:t>Submit Changes</w:t>
      </w:r>
      <w:r w:rsidRPr="00C24B7C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7777777" w:rsidR="00CA4B75" w:rsidRPr="00C24B7C" w:rsidRDefault="00C918A8" w:rsidP="00C918A8">
      <w:pPr>
        <w:numPr>
          <w:ilvl w:val="0"/>
          <w:numId w:val="4"/>
        </w:numPr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A message may appear in the course block.  Read the message; then click </w:t>
      </w:r>
      <w:r w:rsidRPr="00C24B7C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Pr="00C24B7C">
        <w:rPr>
          <w:rFonts w:ascii="Times New Roman" w:hAnsi="Times New Roman" w:cs="Times New Roman"/>
          <w:sz w:val="24"/>
          <w:szCs w:val="24"/>
        </w:rPr>
        <w:t xml:space="preserve"> to add the course.</w:t>
      </w:r>
    </w:p>
    <w:p w14:paraId="0000000E" w14:textId="237EDC24" w:rsidR="00CA4B75" w:rsidRPr="00C24B7C" w:rsidRDefault="00C918A8" w:rsidP="00C918A8">
      <w:pPr>
        <w:numPr>
          <w:ilvl w:val="0"/>
          <w:numId w:val="4"/>
        </w:numPr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Select grading method </w:t>
      </w:r>
      <w:r w:rsidR="000E327C" w:rsidRPr="00C24B7C">
        <w:rPr>
          <w:rFonts w:ascii="Times New Roman" w:hAnsi="Times New Roman" w:cs="Times New Roman"/>
          <w:sz w:val="24"/>
          <w:szCs w:val="24"/>
        </w:rPr>
        <w:t>“</w:t>
      </w:r>
      <w:r w:rsidRPr="00C24B7C">
        <w:rPr>
          <w:rFonts w:ascii="Times New Roman" w:hAnsi="Times New Roman" w:cs="Times New Roman"/>
          <w:sz w:val="24"/>
          <w:szCs w:val="24"/>
        </w:rPr>
        <w:t>regular</w:t>
      </w:r>
      <w:r w:rsidR="000E327C" w:rsidRPr="00C24B7C">
        <w:rPr>
          <w:rFonts w:ascii="Times New Roman" w:hAnsi="Times New Roman" w:cs="Times New Roman"/>
          <w:sz w:val="24"/>
          <w:szCs w:val="24"/>
        </w:rPr>
        <w:t>”</w:t>
      </w:r>
      <w:r w:rsidRPr="00C24B7C">
        <w:rPr>
          <w:rFonts w:ascii="Times New Roman" w:hAnsi="Times New Roman" w:cs="Times New Roman"/>
          <w:sz w:val="24"/>
          <w:szCs w:val="24"/>
        </w:rPr>
        <w:t xml:space="preserve"> for internship.</w:t>
      </w:r>
    </w:p>
    <w:p w14:paraId="00000011" w14:textId="6E0DBA45" w:rsidR="00CA4B75" w:rsidRPr="00C24B7C" w:rsidRDefault="00C918A8" w:rsidP="00C24B7C">
      <w:pPr>
        <w:numPr>
          <w:ilvl w:val="0"/>
          <w:numId w:val="4"/>
        </w:numPr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Enter and submit the information on the Payment Calculation Page. </w:t>
      </w:r>
    </w:p>
    <w:p w14:paraId="00000012" w14:textId="617101AC" w:rsidR="00CA4B75" w:rsidRPr="00C24B7C" w:rsidRDefault="00C918A8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</w:rPr>
        <w:t xml:space="preserve">Sign up for </w:t>
      </w:r>
      <w:r w:rsidR="00AC0072" w:rsidRPr="00C24B7C">
        <w:rPr>
          <w:rFonts w:ascii="Times New Roman" w:hAnsi="Times New Roman" w:cs="Times New Roman"/>
          <w:b/>
          <w:i/>
          <w:sz w:val="24"/>
          <w:szCs w:val="24"/>
        </w:rPr>
        <w:t>Summer Session II 2021</w:t>
      </w:r>
      <w:r w:rsidRPr="00C24B7C">
        <w:rPr>
          <w:rFonts w:ascii="Times New Roman" w:hAnsi="Times New Roman" w:cs="Times New Roman"/>
          <w:b/>
          <w:i/>
          <w:sz w:val="24"/>
          <w:szCs w:val="24"/>
        </w:rPr>
        <w:t xml:space="preserve"> –Sign up for your internship a</w:t>
      </w:r>
      <w:r w:rsidR="000E327C" w:rsidRPr="00C24B7C">
        <w:rPr>
          <w:rFonts w:ascii="Times New Roman" w:hAnsi="Times New Roman" w:cs="Times New Roman"/>
          <w:b/>
          <w:i/>
          <w:sz w:val="24"/>
          <w:szCs w:val="24"/>
        </w:rPr>
        <w:t xml:space="preserve">dvisor’s section. </w:t>
      </w:r>
      <w:r w:rsidR="000E327C" w:rsidRPr="00C24B7C">
        <w:rPr>
          <w:rFonts w:ascii="Times New Roman" w:hAnsi="Times New Roman" w:cs="Times New Roman"/>
          <w:b/>
          <w:sz w:val="24"/>
          <w:szCs w:val="24"/>
        </w:rPr>
        <w:t>Note that each section code begins with a capital “i” and not a numeral 1.</w:t>
      </w:r>
    </w:p>
    <w:p w14:paraId="21400638" w14:textId="77777777" w:rsidR="000E327C" w:rsidRPr="00C24B7C" w:rsidRDefault="000E327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13" w14:textId="66C9D618" w:rsidR="00CA4B75" w:rsidRPr="00C24B7C" w:rsidRDefault="00C918A8">
      <w:pPr>
        <w:numPr>
          <w:ilvl w:val="0"/>
          <w:numId w:val="1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Geoff Rinehart: INAG 288 Section </w:t>
      </w:r>
      <w:r w:rsidRPr="00C24B7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24B7C">
        <w:rPr>
          <w:rFonts w:ascii="Times New Roman" w:hAnsi="Times New Roman" w:cs="Times New Roman"/>
          <w:sz w:val="24"/>
          <w:szCs w:val="24"/>
        </w:rPr>
        <w:t xml:space="preserve">201 </w:t>
      </w:r>
    </w:p>
    <w:p w14:paraId="00000014" w14:textId="69289D29" w:rsidR="00CA4B75" w:rsidRPr="00C24B7C" w:rsidRDefault="00C918A8">
      <w:pPr>
        <w:numPr>
          <w:ilvl w:val="0"/>
          <w:numId w:val="1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Meredith Epstein: INAG 288 Section </w:t>
      </w:r>
      <w:r w:rsidRPr="00C24B7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24B7C">
        <w:rPr>
          <w:rFonts w:ascii="Times New Roman" w:hAnsi="Times New Roman" w:cs="Times New Roman"/>
          <w:sz w:val="24"/>
          <w:szCs w:val="24"/>
        </w:rPr>
        <w:t xml:space="preserve">202 </w:t>
      </w:r>
    </w:p>
    <w:p w14:paraId="00000015" w14:textId="61528F73" w:rsidR="00CA4B75" w:rsidRPr="00C24B7C" w:rsidRDefault="00C918A8">
      <w:pPr>
        <w:numPr>
          <w:ilvl w:val="0"/>
          <w:numId w:val="1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Ken Ingram:  INAG 288 Section </w:t>
      </w:r>
      <w:r w:rsidRPr="00C24B7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24B7C">
        <w:rPr>
          <w:rFonts w:ascii="Times New Roman" w:hAnsi="Times New Roman" w:cs="Times New Roman"/>
          <w:sz w:val="24"/>
          <w:szCs w:val="24"/>
        </w:rPr>
        <w:t xml:space="preserve">203 </w:t>
      </w:r>
    </w:p>
    <w:p w14:paraId="00000019" w14:textId="2A5BB39E" w:rsidR="00CA4B75" w:rsidRPr="00C24B7C" w:rsidRDefault="00C918A8" w:rsidP="00AC0072">
      <w:pPr>
        <w:numPr>
          <w:ilvl w:val="0"/>
          <w:numId w:val="1"/>
        </w:num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 xml:space="preserve">Heather McHale:  INAG 288 Section </w:t>
      </w:r>
      <w:r w:rsidRPr="00C24B7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24B7C">
        <w:rPr>
          <w:rFonts w:ascii="Times New Roman" w:hAnsi="Times New Roman" w:cs="Times New Roman"/>
          <w:sz w:val="24"/>
          <w:szCs w:val="24"/>
        </w:rPr>
        <w:t>205</w:t>
      </w:r>
    </w:p>
    <w:p w14:paraId="1B06876C" w14:textId="77777777" w:rsidR="00AC0072" w:rsidRPr="00C24B7C" w:rsidRDefault="00AC0072" w:rsidP="00AC0072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Deadlines and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591308660"/>
        </w:sdtPr>
        <w:sdtEndPr/>
        <w:sdtContent/>
      </w:sdt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>payment</w:t>
      </w:r>
    </w:p>
    <w:p w14:paraId="1B40CCD3" w14:textId="5CE6BD13" w:rsidR="00C24B7C" w:rsidRPr="00AC0072" w:rsidRDefault="00C24B7C" w:rsidP="00C24B7C">
      <w:pPr>
        <w:shd w:val="clear" w:color="auto" w:fill="FFFFFF"/>
        <w:suppressAutoHyphens w:val="0"/>
        <w:spacing w:after="160" w:line="209" w:lineRule="atLeast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</w:pPr>
      <w:r w:rsidRPr="00C24B7C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You will be </w:t>
      </w:r>
      <w:r w:rsidR="00AC0072" w:rsidRPr="00AC0072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notified </w:t>
      </w:r>
      <w:r w:rsidRPr="00C24B7C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via </w:t>
      </w:r>
      <w:r w:rsidR="00AC0072" w:rsidRPr="00AC0072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email </w:t>
      </w:r>
      <w:r w:rsidRPr="00C24B7C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>that you have a bill.  You</w:t>
      </w:r>
      <w:r w:rsidR="00AC0072" w:rsidRPr="00AC0072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 must pay i</w:t>
      </w:r>
      <w:r w:rsidRPr="00C24B7C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>t by the stated deadline or you will</w:t>
      </w:r>
      <w:r w:rsidR="00AC0072" w:rsidRPr="00AC0072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 </w:t>
      </w:r>
      <w:bookmarkStart w:id="1" w:name="_GoBack"/>
      <w:bookmarkEnd w:id="1"/>
      <w:r w:rsidR="00AC0072" w:rsidRPr="00AC0072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 xml:space="preserve">incur late payment fees and finance charges.  </w:t>
      </w:r>
      <w:r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>Go</w:t>
      </w:r>
      <w:r w:rsidRPr="00C24B7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>
        <w:r w:rsidRPr="00C24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http://oes.umd.edu/</w:t>
        </w:r>
      </w:hyperlink>
      <w:r w:rsidRPr="00C24B7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24B7C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</w:rPr>
        <w:t>for deadlines and details.</w:t>
      </w:r>
    </w:p>
    <w:p w14:paraId="0000001C" w14:textId="1FFE74B9" w:rsidR="00CA4B75" w:rsidRPr="00C24B7C" w:rsidRDefault="00CA4B75" w:rsidP="00C24B7C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0000001D" w14:textId="0A24047C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C24B7C" w:rsidRPr="00C24B7C">
        <w:rPr>
          <w:rFonts w:ascii="Times New Roman" w:hAnsi="Times New Roman" w:cs="Times New Roman"/>
          <w:b/>
          <w:sz w:val="24"/>
          <w:szCs w:val="24"/>
        </w:rPr>
        <w:t>15</w:t>
      </w:r>
      <w:r w:rsidRPr="00C24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B7C">
        <w:rPr>
          <w:rFonts w:ascii="Times New Roman" w:hAnsi="Times New Roman" w:cs="Times New Roman"/>
          <w:sz w:val="24"/>
          <w:szCs w:val="24"/>
        </w:rPr>
        <w:t>is the absolute last day to register and pay for Summer Session II.  Please note that Summer Ses</w:t>
      </w:r>
      <w:r w:rsidR="000E327C" w:rsidRPr="00C24B7C">
        <w:rPr>
          <w:rFonts w:ascii="Times New Roman" w:hAnsi="Times New Roman" w:cs="Times New Roman"/>
          <w:sz w:val="24"/>
          <w:szCs w:val="24"/>
        </w:rPr>
        <w:t>s</w:t>
      </w:r>
      <w:r w:rsidR="00C24B7C" w:rsidRPr="00C24B7C">
        <w:rPr>
          <w:rFonts w:ascii="Times New Roman" w:hAnsi="Times New Roman" w:cs="Times New Roman"/>
          <w:sz w:val="24"/>
          <w:szCs w:val="24"/>
        </w:rPr>
        <w:t>ion II officially begins July 12</w:t>
      </w:r>
      <w:r w:rsidRPr="00C24B7C">
        <w:rPr>
          <w:rFonts w:ascii="Times New Roman" w:hAnsi="Times New Roman" w:cs="Times New Roman"/>
          <w:sz w:val="24"/>
          <w:szCs w:val="24"/>
        </w:rPr>
        <w:t xml:space="preserve">. However, you will begin working </w:t>
      </w:r>
      <w:r w:rsidR="000E327C" w:rsidRPr="00C24B7C">
        <w:rPr>
          <w:rFonts w:ascii="Times New Roman" w:hAnsi="Times New Roman" w:cs="Times New Roman"/>
          <w:sz w:val="24"/>
          <w:szCs w:val="24"/>
        </w:rPr>
        <w:t>at your internship site earlier; you may start any time as long as you will complete 320 hours by the end</w:t>
      </w:r>
      <w:r w:rsidR="00C24B7C" w:rsidRPr="00C24B7C">
        <w:rPr>
          <w:rFonts w:ascii="Times New Roman" w:hAnsi="Times New Roman" w:cs="Times New Roman"/>
          <w:sz w:val="24"/>
          <w:szCs w:val="24"/>
        </w:rPr>
        <w:t xml:space="preserve"> of Summer Session II (August 20</w:t>
      </w:r>
      <w:r w:rsidR="000E327C" w:rsidRPr="00C24B7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00001E" w14:textId="77777777" w:rsidR="00CA4B75" w:rsidRPr="00C24B7C" w:rsidRDefault="00CA4B75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  <w:u w:val="single"/>
        </w:rPr>
      </w:pPr>
      <w:r w:rsidRPr="00C24B7C">
        <w:rPr>
          <w:rFonts w:ascii="Times New Roman" w:hAnsi="Times New Roman" w:cs="Times New Roman"/>
          <w:b/>
          <w:sz w:val="24"/>
          <w:szCs w:val="24"/>
          <w:u w:val="single"/>
        </w:rPr>
        <w:t>Costs</w:t>
      </w:r>
    </w:p>
    <w:p w14:paraId="00000020" w14:textId="1DF12194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>In</w:t>
      </w:r>
      <w:r w:rsidR="000E327C" w:rsidRPr="00C24B7C">
        <w:rPr>
          <w:rFonts w:ascii="Times New Roman" w:hAnsi="Times New Roman" w:cs="Times New Roman"/>
          <w:sz w:val="24"/>
          <w:szCs w:val="24"/>
        </w:rPr>
        <w:t xml:space="preserve"> </w:t>
      </w:r>
      <w:r w:rsidRPr="00C24B7C">
        <w:rPr>
          <w:rFonts w:ascii="Times New Roman" w:hAnsi="Times New Roman" w:cs="Times New Roman"/>
          <w:sz w:val="24"/>
          <w:szCs w:val="24"/>
        </w:rPr>
        <w:t xml:space="preserve">state: $ </w:t>
      </w:r>
      <w:r w:rsidR="00AC0072" w:rsidRPr="00C24B7C">
        <w:rPr>
          <w:rFonts w:ascii="Times New Roman" w:hAnsi="Times New Roman" w:cs="Times New Roman"/>
          <w:sz w:val="24"/>
          <w:szCs w:val="24"/>
        </w:rPr>
        <w:t>374</w:t>
      </w:r>
      <w:r w:rsidR="000E327C" w:rsidRPr="00C24B7C">
        <w:rPr>
          <w:rFonts w:ascii="Times New Roman" w:hAnsi="Times New Roman" w:cs="Times New Roman"/>
          <w:sz w:val="24"/>
          <w:szCs w:val="24"/>
        </w:rPr>
        <w:t xml:space="preserve">/credit + $100 </w:t>
      </w:r>
      <w:r w:rsidRPr="00C24B7C">
        <w:rPr>
          <w:rFonts w:ascii="Times New Roman" w:hAnsi="Times New Roman" w:cs="Times New Roman"/>
          <w:sz w:val="24"/>
          <w:szCs w:val="24"/>
        </w:rPr>
        <w:t xml:space="preserve">fee = </w:t>
      </w:r>
      <w:r w:rsidR="00AC0072" w:rsidRPr="00C24B7C">
        <w:rPr>
          <w:rFonts w:ascii="Times New Roman" w:hAnsi="Times New Roman" w:cs="Times New Roman"/>
          <w:sz w:val="24"/>
          <w:szCs w:val="24"/>
        </w:rPr>
        <w:t>$474</w:t>
      </w:r>
      <w:r w:rsidRPr="00C24B7C">
        <w:rPr>
          <w:rFonts w:ascii="Times New Roman" w:hAnsi="Times New Roman" w:cs="Times New Roman"/>
          <w:sz w:val="24"/>
          <w:szCs w:val="24"/>
        </w:rPr>
        <w:t xml:space="preserve"> total</w:t>
      </w:r>
    </w:p>
    <w:p w14:paraId="00000021" w14:textId="72E854D6" w:rsidR="00CA4B75" w:rsidRPr="00C24B7C" w:rsidRDefault="00C918A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C24B7C">
        <w:rPr>
          <w:rFonts w:ascii="Times New Roman" w:hAnsi="Times New Roman" w:cs="Times New Roman"/>
          <w:sz w:val="24"/>
          <w:szCs w:val="24"/>
        </w:rPr>
        <w:t>Out of state: $</w:t>
      </w:r>
      <w:r w:rsidR="00AC0072" w:rsidRPr="00C24B7C">
        <w:rPr>
          <w:rFonts w:ascii="Times New Roman" w:hAnsi="Times New Roman" w:cs="Times New Roman"/>
          <w:sz w:val="24"/>
          <w:szCs w:val="24"/>
        </w:rPr>
        <w:t>1485</w:t>
      </w:r>
      <w:r w:rsidRPr="00C24B7C">
        <w:rPr>
          <w:rFonts w:ascii="Times New Roman" w:hAnsi="Times New Roman" w:cs="Times New Roman"/>
          <w:sz w:val="24"/>
          <w:szCs w:val="24"/>
        </w:rPr>
        <w:t>/credit + $</w:t>
      </w:r>
      <w:r w:rsidR="000E327C" w:rsidRPr="00C24B7C">
        <w:rPr>
          <w:rFonts w:ascii="Times New Roman" w:hAnsi="Times New Roman" w:cs="Times New Roman"/>
          <w:sz w:val="24"/>
          <w:szCs w:val="24"/>
        </w:rPr>
        <w:t xml:space="preserve">100 </w:t>
      </w:r>
      <w:r w:rsidRPr="00C24B7C">
        <w:rPr>
          <w:rFonts w:ascii="Times New Roman" w:hAnsi="Times New Roman" w:cs="Times New Roman"/>
          <w:sz w:val="24"/>
          <w:szCs w:val="24"/>
        </w:rPr>
        <w:t>fee = $</w:t>
      </w:r>
      <w:r w:rsidR="00AC0072" w:rsidRPr="00C24B7C">
        <w:rPr>
          <w:rFonts w:ascii="Times New Roman" w:hAnsi="Times New Roman" w:cs="Times New Roman"/>
          <w:sz w:val="24"/>
          <w:szCs w:val="24"/>
        </w:rPr>
        <w:t>1585</w:t>
      </w:r>
      <w:r w:rsidR="000E327C" w:rsidRPr="00C24B7C">
        <w:rPr>
          <w:rFonts w:ascii="Times New Roman" w:hAnsi="Times New Roman" w:cs="Times New Roman"/>
          <w:sz w:val="24"/>
          <w:szCs w:val="24"/>
        </w:rPr>
        <w:t xml:space="preserve"> </w:t>
      </w:r>
      <w:r w:rsidRPr="00C24B7C">
        <w:rPr>
          <w:rFonts w:ascii="Times New Roman" w:hAnsi="Times New Roman" w:cs="Times New Roman"/>
          <w:sz w:val="24"/>
          <w:szCs w:val="24"/>
        </w:rPr>
        <w:t>total</w:t>
      </w:r>
    </w:p>
    <w:sectPr w:rsidR="00CA4B75" w:rsidRPr="00C24B7C">
      <w:pgSz w:w="12240" w:h="15840"/>
      <w:pgMar w:top="1152" w:right="1008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F47"/>
    <w:multiLevelType w:val="multilevel"/>
    <w:tmpl w:val="A80C4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BDB543F"/>
    <w:multiLevelType w:val="hybridMultilevel"/>
    <w:tmpl w:val="66E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35E"/>
    <w:multiLevelType w:val="multilevel"/>
    <w:tmpl w:val="744ACF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5D5831B6"/>
    <w:multiLevelType w:val="multilevel"/>
    <w:tmpl w:val="8A4E72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DA2tDAwtjQ1MrNU0lEKTi0uzszPAykwrAUA0oOq3ywAAAA="/>
  </w:docVars>
  <w:rsids>
    <w:rsidRoot w:val="00CA4B75"/>
    <w:rsid w:val="000E327C"/>
    <w:rsid w:val="00AC0072"/>
    <w:rsid w:val="00C24B7C"/>
    <w:rsid w:val="00C918A8"/>
    <w:rsid w:val="00CA4B75"/>
    <w:rsid w:val="00D61416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D8EA"/>
  <w15:docId w15:val="{E8008003-F9D1-4A65-8478-3FAD21C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78"/>
    <w:rPr>
      <w:rFonts w:ascii="Segoe UI" w:hAnsi="Segoe UI" w:cs="Segoe UI"/>
      <w:position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16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4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es.umd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udo.umd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OuyZw5q1m18zVC9fMrC+L70QQ==">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 Hyman</dc:creator>
  <cp:lastModifiedBy>Glori</cp:lastModifiedBy>
  <cp:revision>2</cp:revision>
  <dcterms:created xsi:type="dcterms:W3CDTF">2021-02-15T19:26:00Z</dcterms:created>
  <dcterms:modified xsi:type="dcterms:W3CDTF">2021-02-15T19:26:00Z</dcterms:modified>
</cp:coreProperties>
</file>